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type="dxa" w:w="9633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968"/>
        <w:gridCol w:w="4665"/>
      </w:tblGrid>
      <w:tr>
        <w:tc>
          <w:tcPr>
            <w:tcW w:type="dxa" w:w="49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3035808" cy="76212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7621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6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 w:line="240" w:lineRule="auto"/>
              <w:jc w:val="right"/>
            </w:pPr>
            <w:r>
              <w:rPr>
                <w:rFonts w:ascii="Times New Roman" w:hAnsi="Times New Roman" w:eastAsia="Times New Roman"/>
                <w:b/>
                <w:color w:val="1A2D43"/>
                <w:sz w:val="20"/>
              </w:rPr>
              <w:t>«НАУЧНО-ПРОИЗВОДСТВЕННАЯ КОМПАНИЯ</w:t>
              <w:br/>
              <w:t>МИР ИННОВАЦИОННЫХ РЕШЕНИЙ»</w:t>
              <w:br/>
            </w:r>
            <w:r>
              <w:rPr>
                <w:rFonts w:ascii="Times New Roman" w:hAnsi="Times New Roman" w:eastAsia="Times New Roman"/>
                <w:b/>
                <w:color w:val="1A2D43"/>
                <w:sz w:val="18"/>
              </w:rPr>
              <w:t>Внедряем инновации</w:t>
              <w:br/>
              <w:br/>
            </w:r>
            <w:r>
              <w:rPr>
                <w:rFonts w:ascii="Times New Roman" w:hAnsi="Times New Roman" w:eastAsia="Times New Roman"/>
                <w:b/>
                <w:color w:val="0568C1"/>
                <w:sz w:val="20"/>
                <w:u w:val="single"/>
              </w:rPr>
              <w:t>WWW.NPK-MIR.RU</w:t>
            </w:r>
          </w:p>
        </w:tc>
      </w:tr>
    </w:tbl>
    <w:p>
      <w:pPr>
        <w:spacing w:after="0" w:line="240" w:lineRule="auto"/>
      </w:pPr>
      <w:r>
        <w:rPr>
          <w:sz w:val="2"/>
        </w:rPr>
      </w:r>
    </w:p>
    <w:p>
      <w:pPr>
        <w:keepNext w:val="0"/>
        <w:spacing w:before="0" w:after="80" w:line="259" w:lineRule="auto"/>
      </w:pPr>
      <w:r>
        <w:rPr>
          <w:rFonts w:ascii="Arial" w:hAnsi="Arial" w:eastAsia="Arial"/>
          <w:b/>
          <w:caps/>
          <w:color w:val="1C67B1"/>
          <w:sz w:val="16"/>
        </w:rPr>
        <w:t>КОМПЛЕКТНОЕ РАСПРЕДЕЛИТЕЛЬНОЕ УСТРОЙСТВО С ЭЛЕГАЗОВОЙ ИЗОЛЯЦИЕЙ</w:t>
      </w:r>
      <w:hyperlink w:anchor="survey-page" w:history="1">
        <w:r>
          <w:rPr>
            <w:rFonts w:ascii="Arial" w:hAnsi="Arial" w:eastAsia="Arial"/>
            <w:b/>
            <w:caps/>
            <w:color w:val="0563C1"/>
            <w:sz w:val="16"/>
            <w:u w:val="single"/>
          </w:rPr>
          <w:t xml:space="preserve"> – ОПРОСНЫЙ ЛИСТ НА КРАЙНЕЙ СТРАНИЦЕ</w:t>
        </w:r>
      </w:hyperlink>
    </w:p>
    <w:p>
      <w:pPr>
        <w:keepNext/>
        <w:spacing w:before="0" w:after="100" w:line="259" w:lineRule="auto"/>
      </w:pPr>
      <w:r>
        <w:rPr>
          <w:rFonts w:ascii="Arial" w:hAnsi="Arial" w:eastAsia="Arial"/>
          <w:b/>
          <w:color w:val="173660"/>
          <w:sz w:val="44"/>
        </w:rPr>
        <w:t>КРУЭ ВЕГА-Э</w:t>
      </w:r>
    </w:p>
    <w:p>
      <w:pPr>
        <w:keepNext w:val="0"/>
        <w:spacing w:before="0" w:after="160" w:line="240" w:lineRule="auto"/>
      </w:pPr>
      <w:r>
        <w:rPr>
          <w:rFonts w:ascii="Arial" w:hAnsi="Arial" w:eastAsia="Arial"/>
          <w:b/>
          <w:color w:val="4E6378"/>
          <w:sz w:val="22"/>
        </w:rPr>
        <w:t>Малогабаритное герметичное РУ для сетей 6–35 кВ</w:t>
      </w:r>
    </w:p>
    <w:p>
      <w:pPr>
        <w:keepNext w:val="0"/>
        <w:spacing w:before="0" w:after="140" w:line="259" w:lineRule="auto"/>
      </w:pPr>
      <w:r>
        <w:rPr>
          <w:rFonts w:ascii="Arial" w:hAnsi="Arial" w:eastAsia="Arial"/>
          <w:b/>
          <w:color w:val="1C67B1"/>
          <w:sz w:val="16"/>
        </w:rPr>
        <w:t>Производитель: ООО «АЙТЕК»   |   Официальный дилер ООО «НПК МИР»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3584448" cy="22402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ega-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84448" cy="224028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633"/>
      </w:tblGrid>
      <w:tr>
        <w:tc>
          <w:tcPr>
            <w:tcW w:type="dxa" w:w="9633"/>
            <w:shd w:fill="E8F0F7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5" w:color="A9BED1"/>
              <w:left w:val="single" w:sz="5" w:color="A9BED1"/>
              <w:bottom w:val="single" w:sz="5" w:color="A9BED1"/>
              <w:right w:val="single" w:sz="5" w:color="A9BED1"/>
              <w:insideH w:val="single" w:sz="5" w:color="A9BED1"/>
              <w:insideV w:val="single" w:sz="5" w:color="A9BED1"/>
            </w:tcBorders>
          </w:tcPr>
          <w:p>
            <w:pPr>
              <w:keepNext w:val="0"/>
              <w:spacing w:before="0" w:after="40" w:line="259" w:lineRule="auto"/>
            </w:pPr>
            <w:r>
              <w:rPr>
                <w:rFonts w:ascii="Arial" w:hAnsi="Arial" w:eastAsia="Arial"/>
                <w:b/>
                <w:color w:val="1C67B1"/>
                <w:sz w:val="15"/>
              </w:rPr>
              <w:t>КЛЮЧЕВОЕ НАЗНАЧЕНИЕ</w:t>
              <w:br/>
            </w:r>
            <w:r>
              <w:rPr>
                <w:rFonts w:ascii="Arial" w:hAnsi="Arial" w:eastAsia="Arial"/>
                <w:b/>
                <w:color w:val="173660"/>
                <w:sz w:val="19"/>
              </w:rPr>
              <w:t>Токоведущие части и коммутационные аппараты размещены в герметичном баке из нержавеющей стали AISI 304, рассчитанном на весь срок эксплуатации.</w:t>
            </w:r>
          </w:p>
        </w:tc>
      </w:tr>
    </w:tbl>
    <w:p>
      <w:pPr>
        <w:spacing w:after="0"/>
      </w:pP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211"/>
        <w:gridCol w:w="3211"/>
        <w:gridCol w:w="3211"/>
      </w:tblGrid>
      <w:tr>
        <w:tc>
          <w:tcPr>
            <w:tcW w:type="dxa" w:w="3211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173660"/>
                <w:sz w:val="28"/>
              </w:rPr>
              <w:t>6–35 кВ</w:t>
              <w:br/>
            </w:r>
            <w:r>
              <w:rPr>
                <w:rFonts w:ascii="Arial" w:hAnsi="Arial" w:eastAsia="Arial"/>
                <w:b/>
                <w:color w:val="708399"/>
                <w:sz w:val="14"/>
              </w:rPr>
              <w:t>НАПРЯЖЕНИЕ СЕТИ</w:t>
            </w:r>
          </w:p>
        </w:tc>
        <w:tc>
          <w:tcPr>
            <w:tcW w:type="dxa" w:w="3211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173660"/>
                <w:sz w:val="28"/>
              </w:rPr>
              <w:t>IP67</w:t>
              <w:br/>
            </w:r>
            <w:r>
              <w:rPr>
                <w:rFonts w:ascii="Arial" w:hAnsi="Arial" w:eastAsia="Arial"/>
                <w:b/>
                <w:color w:val="708399"/>
                <w:sz w:val="14"/>
              </w:rPr>
              <w:t>ГЕРМЕТИЧНЫЙ БАК</w:t>
            </w:r>
          </w:p>
        </w:tc>
        <w:tc>
          <w:tcPr>
            <w:tcW w:type="dxa" w:w="3211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173660"/>
                <w:sz w:val="28"/>
              </w:rPr>
              <w:t>30 лет</w:t>
              <w:br/>
            </w:r>
            <w:r>
              <w:rPr>
                <w:rFonts w:ascii="Arial" w:hAnsi="Arial" w:eastAsia="Arial"/>
                <w:b/>
                <w:color w:val="708399"/>
                <w:sz w:val="14"/>
              </w:rPr>
              <w:t>СРОК ЭКСПЛУАТАЦИИ</w:t>
            </w:r>
          </w:p>
        </w:tc>
      </w:tr>
    </w:tbl>
    <w:p>
      <w:pPr>
        <w:keepNext w:val="0"/>
        <w:spacing w:before="160" w:after="80" w:line="259" w:lineRule="auto"/>
      </w:pPr>
      <w:r>
        <w:rPr>
          <w:rFonts w:ascii="Arial" w:hAnsi="Arial" w:eastAsia="Arial"/>
          <w:b w:val="0"/>
          <w:color w:val="26384A"/>
          <w:sz w:val="18"/>
        </w:rPr>
        <w:t>КРУЭ ВЕГА-Э применяется на объектах распределения электроэнергии, где важны компактность, надёжность и независимость от внешней среды. Устройство может включать до шести функциональных модулей в общем баке и оснащаться РЗА, телемеханикой и средствами дистанционного управления.</w:t>
      </w:r>
    </w:p>
    <w:p>
      <w:pPr>
        <w:keepNext w:val="0"/>
        <w:spacing w:before="120" w:after="0" w:line="259" w:lineRule="auto"/>
      </w:pPr>
      <w:r>
        <w:rPr>
          <w:rFonts w:ascii="Arial" w:hAnsi="Arial" w:eastAsia="Arial"/>
          <w:b w:val="0"/>
          <w:color w:val="718497"/>
          <w:sz w:val="14"/>
        </w:rPr>
        <w:t>Источник характеристик: документация ООО «АЙТЕК», редакция страницы продукта, проверенная 18.07.2026.</w:t>
      </w:r>
    </w:p>
    <w:p>
      <w:pPr>
        <w:pageBreakBefore/>
        <w:spacing w:before="0" w:after="0" w:line="240" w:lineRule="auto"/>
      </w:pPr>
      <w:r>
        <w:rPr>
          <w:rFonts w:ascii="Arial" w:hAnsi="Arial" w:eastAsia="Arial"/>
          <w:b w:val="0"/>
          <w:color w:val="FFFFFF"/>
          <w:sz w:val="2"/>
        </w:rPr>
        <w:t xml:space="preserve"> </w:t>
      </w:r>
    </w:p>
    <w:tbl>
      <w:tblPr>
        <w:tblW w:type="dxa" w:w="9633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968"/>
        <w:gridCol w:w="4665"/>
      </w:tblGrid>
      <w:tr>
        <w:tc>
          <w:tcPr>
            <w:tcW w:type="dxa" w:w="49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3035808" cy="762128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7621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6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 w:line="240" w:lineRule="auto"/>
              <w:jc w:val="right"/>
            </w:pPr>
            <w:r>
              <w:rPr>
                <w:rFonts w:ascii="Times New Roman" w:hAnsi="Times New Roman" w:eastAsia="Times New Roman"/>
                <w:b/>
                <w:color w:val="1A2D43"/>
                <w:sz w:val="20"/>
              </w:rPr>
              <w:t>«НАУЧНО-ПРОИЗВОДСТВЕННАЯ КОМПАНИЯ</w:t>
              <w:br/>
              <w:t>МИР ИННОВАЦИОННЫХ РЕШЕНИЙ»</w:t>
              <w:br/>
            </w:r>
            <w:r>
              <w:rPr>
                <w:rFonts w:ascii="Times New Roman" w:hAnsi="Times New Roman" w:eastAsia="Times New Roman"/>
                <w:b/>
                <w:color w:val="1A2D43"/>
                <w:sz w:val="18"/>
              </w:rPr>
              <w:t>Внедряем инновации</w:t>
              <w:br/>
              <w:br/>
            </w:r>
            <w:r>
              <w:rPr>
                <w:rFonts w:ascii="Times New Roman" w:hAnsi="Times New Roman" w:eastAsia="Times New Roman"/>
                <w:b/>
                <w:color w:val="0568C1"/>
                <w:sz w:val="20"/>
                <w:u w:val="single"/>
              </w:rPr>
              <w:t>WWW.NPK-MIR.RU</w:t>
            </w:r>
          </w:p>
        </w:tc>
      </w:tr>
    </w:tbl>
    <w:p>
      <w:pPr>
        <w:spacing w:after="0" w:line="240" w:lineRule="auto"/>
      </w:pPr>
      <w:r>
        <w:rPr>
          <w:sz w:val="2"/>
        </w:rPr>
      </w:r>
    </w:p>
    <w:p>
      <w:pPr>
        <w:keepNext w:val="0"/>
        <w:spacing w:before="0" w:after="80" w:line="259" w:lineRule="auto"/>
      </w:pPr>
      <w:r>
        <w:rPr>
          <w:rFonts w:ascii="Arial" w:hAnsi="Arial" w:eastAsia="Arial"/>
          <w:b/>
          <w:caps/>
          <w:color w:val="1C67B1"/>
          <w:sz w:val="16"/>
        </w:rPr>
        <w:t>ТЕХНИЧЕСКАЯ ИНФОРМАЦИЯ</w:t>
      </w:r>
    </w:p>
    <w:p>
      <w:pPr>
        <w:keepNext/>
        <w:spacing w:before="0" w:after="100" w:line="259" w:lineRule="auto"/>
      </w:pPr>
      <w:r>
        <w:rPr>
          <w:rFonts w:ascii="Arial" w:hAnsi="Arial" w:eastAsia="Arial"/>
          <w:b/>
          <w:color w:val="173660"/>
          <w:sz w:val="44"/>
        </w:rPr>
        <w:t>КРУЭ ВЕГА-Э</w:t>
      </w:r>
    </w:p>
    <w:p>
      <w:pPr>
        <w:pStyle w:val="1"/>
      </w:pPr>
      <w:r>
        <w:t>Области применения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городские трансформаторные и распределительные подстанции;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промышленные и горнодобывающие предприятия;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ветряные и солнечные электростанции;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аэропорты, метро, железные дороги, больницы, ЦОД и коммерческая инфраструктура.</w:t>
      </w:r>
    </w:p>
    <w:p>
      <w:pPr>
        <w:pStyle w:val="1"/>
      </w:pPr>
      <w:r>
        <w:t>Ключевые преимущества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Модульное или моноблочное исполнение — до шести модулей в общем баке.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Удобное расширение без дополнительного пространства при стыковке РУ.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Отсутствуют открытые токоведущие части; оборудование герметизировано на 30 лет.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Работа не зависит от влажности, запылённости, морского климата и сложных условий.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Возможна интеграция РЗА, SCADA, телемеханики и телеуправления.</w:t>
      </w:r>
    </w:p>
    <w:p>
      <w:pPr>
        <w:pStyle w:val="1"/>
      </w:pPr>
      <w:r>
        <w:t>Основные технические характеристики</w:t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960"/>
        <w:gridCol w:w="5673"/>
      </w:tblGrid>
      <w:tr>
        <w:trPr>
          <w:tblHeader w:val="true"/>
        </w:trPr>
        <w:tc>
          <w:tcPr>
            <w:tcW w:type="dxa" w:w="3960"/>
            <w:shd w:fill="1736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  <w:vAlign w:val="center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Параметр</w:t>
            </w:r>
          </w:p>
        </w:tc>
        <w:tc>
          <w:tcPr>
            <w:tcW w:type="dxa" w:w="5673"/>
            <w:shd w:fill="1736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  <w:vAlign w:val="center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Значение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Номинальное напряжение сети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6 / 10 / 20 / 35 кВ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Испытательное напряжение 50 Гц, 1 мин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32 / 42 / 65 / 95 кВ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Испытание грозовым импульсом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60 / 75 / 125 / 195 кВ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Нормальное давление газа при 20 °C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0,14 МПа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Минимальное давление газа при 20 °C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0,11 МПа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Испытательное напряжение вторичных цепей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2 кВ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Напряжение вторичных цепей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AC/DC 24; 48; 110; 220 В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Номинальная частота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50 Гц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Степень защиты оболочки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IP4X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Степень защиты герметичного бака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IP67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Материал бака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нержавеющая сталь AISI 304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Расчётный срок эксплуатации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30 лет</w:t>
            </w:r>
          </w:p>
        </w:tc>
      </w:tr>
    </w:tbl>
    <w:p>
      <w:pPr>
        <w:pStyle w:val="1"/>
      </w:pPr>
      <w:r>
        <w:t>Состав и конфигурация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функциональные модули и схема первичных соединений по проекту;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низковольтный отсек с РЗА и измерительными приборами;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кабельные присоединения и система контроля давления;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опции телемеханики, SCADA и моторных приводов.</w:t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633"/>
      </w:tblGrid>
      <w:tr>
        <w:tc>
          <w:tcPr>
            <w:tcW w:type="dxa" w:w="9633"/>
            <w:shd w:fill="E8F0F7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5" w:color="A9BED1"/>
              <w:left w:val="single" w:sz="5" w:color="A9BED1"/>
              <w:bottom w:val="single" w:sz="5" w:color="A9BED1"/>
              <w:right w:val="single" w:sz="5" w:color="A9BED1"/>
              <w:insideH w:val="single" w:sz="5" w:color="A9BED1"/>
              <w:insideV w:val="single" w:sz="5" w:color="A9BED1"/>
            </w:tcBorders>
          </w:tcPr>
          <w:p>
            <w:pPr>
              <w:keepNext w:val="0"/>
              <w:spacing w:before="0" w:after="40" w:line="259" w:lineRule="auto"/>
            </w:pPr>
            <w:r>
              <w:rPr>
                <w:rFonts w:ascii="Arial" w:hAnsi="Arial" w:eastAsia="Arial"/>
                <w:b/>
                <w:color w:val="1C67B1"/>
                <w:sz w:val="15"/>
              </w:rPr>
              <w:t>ВАЖНО ДЛЯ ПРОЕКТИРОВАНИЯ</w:t>
              <w:br/>
            </w:r>
            <w:r>
              <w:rPr>
                <w:rFonts w:ascii="Arial" w:hAnsi="Arial" w:eastAsia="Arial"/>
                <w:b/>
                <w:color w:val="173660"/>
                <w:sz w:val="19"/>
              </w:rPr>
              <w:t>Состав, функциональные присоединения, номинальные токи и типы коммутационных аппаратов определяются однолинейной схемой и опросным листом.</w:t>
            </w:r>
          </w:p>
        </w:tc>
      </w:tr>
    </w:tbl>
    <w:p>
      <w:pPr>
        <w:spacing w:after="0"/>
      </w:pPr>
    </w:p>
    <w:p>
      <w:pPr>
        <w:pageBreakBefore/>
        <w:spacing w:before="0" w:after="0" w:line="240" w:lineRule="auto"/>
      </w:pPr>
      <w:r>
        <w:rPr>
          <w:rFonts w:ascii="Arial" w:hAnsi="Arial" w:eastAsia="Arial"/>
          <w:b w:val="0"/>
          <w:color w:val="FFFFFF"/>
          <w:sz w:val="2"/>
        </w:rPr>
        <w:t xml:space="preserve"> </w:t>
      </w:r>
    </w:p>
    <w:tbl>
      <w:tblPr>
        <w:tblW w:type="dxa" w:w="9633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968"/>
        <w:gridCol w:w="4665"/>
      </w:tblGrid>
      <w:tr>
        <w:tc>
          <w:tcPr>
            <w:tcW w:type="dxa" w:w="49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3035808" cy="76212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7621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6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 w:line="240" w:lineRule="auto"/>
              <w:jc w:val="right"/>
            </w:pPr>
            <w:r>
              <w:rPr>
                <w:rFonts w:ascii="Times New Roman" w:hAnsi="Times New Roman" w:eastAsia="Times New Roman"/>
                <w:b/>
                <w:color w:val="1A2D43"/>
                <w:sz w:val="20"/>
              </w:rPr>
              <w:t>«НАУЧНО-ПРОИЗВОДСТВЕННАЯ КОМПАНИЯ</w:t>
              <w:br/>
              <w:t>МИР ИННОВАЦИОННЫХ РЕШЕНИЙ»</w:t>
              <w:br/>
            </w:r>
            <w:r>
              <w:rPr>
                <w:rFonts w:ascii="Times New Roman" w:hAnsi="Times New Roman" w:eastAsia="Times New Roman"/>
                <w:b/>
                <w:color w:val="1A2D43"/>
                <w:sz w:val="18"/>
              </w:rPr>
              <w:t>Внедряем инновации</w:t>
              <w:br/>
              <w:br/>
            </w:r>
            <w:r>
              <w:rPr>
                <w:rFonts w:ascii="Times New Roman" w:hAnsi="Times New Roman" w:eastAsia="Times New Roman"/>
                <w:b/>
                <w:color w:val="0568C1"/>
                <w:sz w:val="20"/>
                <w:u w:val="single"/>
              </w:rPr>
              <w:t>WWW.NPK-MIR.RU</w:t>
            </w:r>
          </w:p>
        </w:tc>
      </w:tr>
    </w:tbl>
    <w:p>
      <w:pPr>
        <w:spacing w:after="0" w:line="240" w:lineRule="auto"/>
      </w:pPr>
      <w:r>
        <w:rPr>
          <w:sz w:val="2"/>
        </w:rPr>
      </w:r>
    </w:p>
    <w:p>
      <w:bookmarkStart w:id="9001" w:name="survey-page"/>
      <w:pPr>
        <w:keepNext w:val="0"/>
        <w:spacing w:before="0" w:after="80" w:line="259" w:lineRule="auto"/>
      </w:pPr>
      <w:r>
        <w:rPr>
          <w:rFonts w:ascii="Arial" w:hAnsi="Arial" w:eastAsia="Arial"/>
          <w:b/>
          <w:caps/>
          <w:color w:val="1C67B1"/>
          <w:sz w:val="16"/>
        </w:rPr>
        <w:t>ПРОЕКТНЫЕ ДАННЫЕ</w:t>
      </w:r>
      <w:bookmarkEnd w:id="9001"/>
    </w:p>
    <w:p>
      <w:pPr>
        <w:keepNext/>
        <w:spacing w:before="0" w:after="100" w:line="259" w:lineRule="auto"/>
      </w:pPr>
      <w:r>
        <w:rPr>
          <w:rFonts w:ascii="Arial" w:hAnsi="Arial" w:eastAsia="Arial"/>
          <w:b/>
          <w:color w:val="173660"/>
          <w:sz w:val="44"/>
        </w:rPr>
        <w:t>Опросный лист — КРУЭ ВЕГА-Э</w:t>
      </w:r>
    </w:p>
    <w:p>
      <w:pPr>
        <w:keepNext w:val="0"/>
        <w:spacing w:before="0" w:after="200" w:line="259" w:lineRule="auto"/>
      </w:pPr>
      <w:r>
        <w:rPr>
          <w:rFonts w:ascii="Arial" w:hAnsi="Arial" w:eastAsia="Arial"/>
          <w:b w:val="0"/>
          <w:color w:val="52677B"/>
          <w:sz w:val="18"/>
        </w:rPr>
        <w:t>Заполните доступные поля и направьте документ вместе с однолинейной схемой на mks@npk-mir.ru. Инженер НПК МИР уточнит недостающие параметры.</w:t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648"/>
        <w:gridCol w:w="3671"/>
        <w:gridCol w:w="5313"/>
      </w:tblGrid>
      <w:tr>
        <w:trPr>
          <w:tblHeader w:val="true"/>
        </w:trPr>
        <w:tc>
          <w:tcPr>
            <w:tcW w:type="dxa" w:w="648"/>
            <w:shd w:fill="17366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№</w:t>
            </w:r>
          </w:p>
        </w:tc>
        <w:tc>
          <w:tcPr>
            <w:tcW w:type="dxa" w:w="3671"/>
            <w:shd w:fill="17366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Параметр</w:t>
            </w:r>
          </w:p>
        </w:tc>
        <w:tc>
          <w:tcPr>
            <w:tcW w:type="dxa" w:w="5313"/>
            <w:shd w:fill="17366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Данные заказчика</w:t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Заказчик / объект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2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Контактное лицо, телефон, e-mail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3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Номинальное напряжение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1"/>
                <w:tag w:val="npk-mir-checkbox-1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6  </w:t>
            </w:r>
            <w:sdt>
              <w:sdtPr>
                <w:alias w:val="Вариант 2"/>
                <w:tag w:val="npk-mir-checkbox-2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10  </w:t>
            </w:r>
            <w:sdt>
              <w:sdtPr>
                <w:alias w:val="Вариант 3"/>
                <w:tag w:val="npk-mir-checkbox-3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20  </w:t>
            </w:r>
            <w:sdt>
              <w:sdtPr>
                <w:alias w:val="Вариант 4"/>
                <w:tag w:val="npk-mir-checkbox-4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35 кВ</w:t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4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Однолинейная схема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5"/>
                <w:tag w:val="npk-mir-checkbox-5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Приложена  </w:t>
            </w:r>
            <w:sdt>
              <w:sdtPr>
                <w:alias w:val="Вариант 6"/>
                <w:tag w:val="npk-mir-checkbox-6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Будет направлена позднее</w:t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5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Количество и назначение модулей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6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Номинальный ток сборных шин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7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Ток термической стойкости / отключения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8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Типы кабелей и количество на фазу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9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Оперативное питание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7"/>
                <w:tag w:val="npk-mir-checkbox-7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24  </w:t>
            </w:r>
            <w:sdt>
              <w:sdtPr>
                <w:alias w:val="Вариант 8"/>
                <w:tag w:val="npk-mir-checkbox-8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48  </w:t>
            </w:r>
            <w:sdt>
              <w:sdtPr>
                <w:alias w:val="Вариант 9"/>
                <w:tag w:val="npk-mir-checkbox-9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110  </w:t>
            </w:r>
            <w:sdt>
              <w:sdtPr>
                <w:alias w:val="Вариант 10"/>
                <w:tag w:val="npk-mir-checkbox-1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220 В;  </w:t>
            </w:r>
            <w:sdt>
              <w:sdtPr>
                <w:alias w:val="Вариант 11"/>
                <w:tag w:val="npk-mir-checkbox-11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AC  </w:t>
            </w:r>
            <w:sdt>
              <w:sdtPr>
                <w:alias w:val="Вариант 12"/>
                <w:tag w:val="npk-mir-checkbox-12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DC</w:t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10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РЗА, учёт и измерение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11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Телемеханика / SCADA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12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Климатические и высотные условия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13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Ограничения по габаритам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14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Требуемый срок поставки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15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Дополнительные требования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</w:tbl>
    <w:p>
      <w:pPr>
        <w:keepNext w:val="0"/>
        <w:spacing w:before="180" w:after="60" w:line="259" w:lineRule="auto"/>
      </w:pPr>
      <w:r>
        <w:rPr>
          <w:rFonts w:ascii="Arial" w:hAnsi="Arial" w:eastAsia="Arial"/>
          <w:b w:val="0"/>
          <w:color w:val="26384A"/>
          <w:sz w:val="17"/>
        </w:rPr>
        <w:t xml:space="preserve">Приложения:  </w:t>
      </w:r>
      <w:sdt>
        <w:sdtPr>
          <w:alias w:val="Вариант 13"/>
          <w:tag w:val="npk-mir-checkbox-13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однолинейная схема  </w:t>
      </w:r>
      <w:sdt>
        <w:sdtPr>
          <w:alias w:val="Вариант 14"/>
          <w:tag w:val="npk-mir-checkbox-14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план размещения  </w:t>
      </w:r>
      <w:sdt>
        <w:sdtPr>
          <w:alias w:val="Вариант 15"/>
          <w:tag w:val="npk-mir-checkbox-15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спецификация РЗА  </w:t>
      </w:r>
      <w:sdt>
        <w:sdtPr>
          <w:alias w:val="Вариант 16"/>
          <w:tag w:val="npk-mir-checkbox-16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иное: __________________</w:t>
      </w:r>
    </w:p>
    <w:p>
      <w:pPr>
        <w:keepNext w:val="0"/>
        <w:spacing w:before="0" w:after="0" w:line="259" w:lineRule="auto"/>
      </w:pPr>
      <w:r>
        <w:rPr>
          <w:rFonts w:ascii="Arial" w:hAnsi="Arial" w:eastAsia="Arial"/>
          <w:b w:val="0"/>
          <w:color w:val="26384A"/>
          <w:sz w:val="17"/>
        </w:rPr>
        <w:t>Дата заполнения: «____» __________ 20____ г.     Ответственный: __________________ / __________________</w:t>
      </w:r>
    </w:p>
    <w:sectPr w:rsidR="009558B7" w:rsidRPr="00A16FE2" w:rsidSect="00F27D56">
      <w:headerReference w:type="default" r:id="rId11"/>
      <w:footerReference w:type="default" r:id="rId12"/>
      <w:pgSz w:w="11906" w:h="16838"/>
      <w:pgMar w:top="432" w:right="1138" w:bottom="893" w:left="1138" w:header="426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5F76AF" w14:textId="77777777" w:rsidR="007D2C4E" w:rsidRDefault="007D2C4E">
      <w:r>
        <w:separator/>
      </w:r>
    </w:p>
  </w:endnote>
  <w:endnote w:type="continuationSeparator" w:id="0">
    <w:p w14:paraId="2B5D33BB" w14:textId="77777777" w:rsidR="007D2C4E" w:rsidRDefault="007D2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panose1 w:val="020B0604020202020204"/>
    <w:charset w:val="00"/>
    <w:family w:val="roman"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>
    <w:pPr>
      <w:spacing w:before="60" w:after="0"/>
      <w:jc w:val="center"/>
      <w:pBdr>
        <w:top w:val="single" w:sz="8" w:space="5" w:color="1C67B1"/>
      </w:pBdr>
    </w:pPr>
    <w:r>
      <w:rPr>
        <w:rFonts w:ascii="Arial" w:hAnsi="Arial" w:eastAsia="Arial"/>
        <w:b w:val="0"/>
        <w:color w:val="60758B"/>
        <w:sz w:val="15"/>
      </w:rPr>
      <w:t xml:space="preserve">ООО «НПК МИР»  •  +7 (343) 93-29-717  •  mks@npk-mir.ru  •  info@npk-mir.ru  •  npk-mir.ru  |  </w:t>
    </w:r>
    <w:r>
      <w:rPr>
        <w:rFonts w:ascii="Arial" w:hAnsi="Arial" w:eastAsia="Arial"/>
        <w:b w:val="0"/>
        <w:color w:val="60758B"/>
        <w:sz w:val="15"/>
      </w:rPr>
      <w:t xml:space="preserve">стр. </w:t>
      <w:fldChar w:fldCharType="begin"/>
      <w:instrText xml:space="preserve"> PAGE </w:instrText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CFC290" w14:textId="77777777" w:rsidR="007D2C4E" w:rsidRDefault="007D2C4E">
      <w:r>
        <w:separator/>
      </w:r>
    </w:p>
  </w:footnote>
  <w:footnote w:type="continuationSeparator" w:id="0">
    <w:p w14:paraId="35F17576" w14:textId="77777777" w:rsidR="007D2C4E" w:rsidRDefault="007D2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5">
    <w:multiLevelType w:val="singleLevel"/>
    <w:lvl w:ilvl="0">
      <w:start w:val="1"/>
      <w:numFmt w:val="bullet"/>
      <w:lvlText w:val="•"/>
      <w:lvlJc w:val="left"/>
      <w:pPr>
        <w:tabs>
          <w:tab w:val="num" w:pos="317"/>
        </w:tabs>
        <w:ind w:left="317" w:hanging="202"/>
      </w:pPr>
      <w:rPr>
        <w:rFonts w:ascii="Arial" w:hAnsi="Arial"/>
        <w:color w:val="1C67B1"/>
      </w:rPr>
    </w:lvl>
  </w:abstractNum>
  <w:abstractNum w:abstractNumId="0" w15:restartNumberingAfterBreak="0">
    <w:nsid w:val="078B1E5E"/>
    <w:multiLevelType w:val="multilevel"/>
    <w:tmpl w:val="078B1E5E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" w15:restartNumberingAfterBreak="0">
    <w:nsid w:val="09DC65AD"/>
    <w:multiLevelType w:val="multilevel"/>
    <w:tmpl w:val="09DC65A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C6B00"/>
    <w:multiLevelType w:val="hybridMultilevel"/>
    <w:tmpl w:val="F472456A"/>
    <w:lvl w:ilvl="0" w:tplc="79A8ADF2">
      <w:start w:val="1"/>
      <w:numFmt w:val="decimal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A503A45"/>
    <w:multiLevelType w:val="hybridMultilevel"/>
    <w:tmpl w:val="85E41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C245F"/>
    <w:multiLevelType w:val="hybridMultilevel"/>
    <w:tmpl w:val="135020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8702">
    <w:abstractNumId w:val="0"/>
  </w:num>
  <w:num w:numId="2" w16cid:durableId="846285544">
    <w:abstractNumId w:val="1"/>
  </w:num>
  <w:num w:numId="3" w16cid:durableId="1633056484">
    <w:abstractNumId w:val="2"/>
  </w:num>
  <w:num w:numId="4" w16cid:durableId="1343580814">
    <w:abstractNumId w:val="4"/>
  </w:num>
  <w:num w:numId="5" w16cid:durableId="560602882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08"/>
  <w:autoHyphenation/>
  <w:consecutiveHyphenLimit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EE9"/>
    <w:rsid w:val="0001484E"/>
    <w:rsid w:val="00020A2A"/>
    <w:rsid w:val="000235D5"/>
    <w:rsid w:val="00024926"/>
    <w:rsid w:val="00025182"/>
    <w:rsid w:val="00027134"/>
    <w:rsid w:val="0002767E"/>
    <w:rsid w:val="00031A4C"/>
    <w:rsid w:val="00032145"/>
    <w:rsid w:val="00034718"/>
    <w:rsid w:val="000417C7"/>
    <w:rsid w:val="000439D2"/>
    <w:rsid w:val="00050F20"/>
    <w:rsid w:val="00056261"/>
    <w:rsid w:val="00060FA9"/>
    <w:rsid w:val="0006331F"/>
    <w:rsid w:val="00071209"/>
    <w:rsid w:val="0007276B"/>
    <w:rsid w:val="000741E1"/>
    <w:rsid w:val="000754DE"/>
    <w:rsid w:val="0009555E"/>
    <w:rsid w:val="000A7AC4"/>
    <w:rsid w:val="000B4C8E"/>
    <w:rsid w:val="000C4955"/>
    <w:rsid w:val="000D0467"/>
    <w:rsid w:val="000D2209"/>
    <w:rsid w:val="000E252A"/>
    <w:rsid w:val="0010636D"/>
    <w:rsid w:val="0010659D"/>
    <w:rsid w:val="001176D0"/>
    <w:rsid w:val="001222C2"/>
    <w:rsid w:val="00130E8E"/>
    <w:rsid w:val="0013181C"/>
    <w:rsid w:val="00131865"/>
    <w:rsid w:val="00133957"/>
    <w:rsid w:val="001371CA"/>
    <w:rsid w:val="00142829"/>
    <w:rsid w:val="00145F74"/>
    <w:rsid w:val="00152315"/>
    <w:rsid w:val="001618DF"/>
    <w:rsid w:val="00171625"/>
    <w:rsid w:val="001745CB"/>
    <w:rsid w:val="00182FD5"/>
    <w:rsid w:val="001958F2"/>
    <w:rsid w:val="001A09BF"/>
    <w:rsid w:val="001A12B1"/>
    <w:rsid w:val="001A25B6"/>
    <w:rsid w:val="001B1D1B"/>
    <w:rsid w:val="001C10B5"/>
    <w:rsid w:val="001E3621"/>
    <w:rsid w:val="001E3910"/>
    <w:rsid w:val="001E5EE9"/>
    <w:rsid w:val="001E7AAB"/>
    <w:rsid w:val="001E7D18"/>
    <w:rsid w:val="001F213C"/>
    <w:rsid w:val="001F4625"/>
    <w:rsid w:val="001F7831"/>
    <w:rsid w:val="00201CC6"/>
    <w:rsid w:val="00206CA6"/>
    <w:rsid w:val="00216F18"/>
    <w:rsid w:val="00226FBA"/>
    <w:rsid w:val="00240B47"/>
    <w:rsid w:val="002465F2"/>
    <w:rsid w:val="00251899"/>
    <w:rsid w:val="00252877"/>
    <w:rsid w:val="00260DAB"/>
    <w:rsid w:val="002613C0"/>
    <w:rsid w:val="0026353A"/>
    <w:rsid w:val="0027319D"/>
    <w:rsid w:val="00273BC7"/>
    <w:rsid w:val="002777C6"/>
    <w:rsid w:val="00285380"/>
    <w:rsid w:val="002946AE"/>
    <w:rsid w:val="002A034B"/>
    <w:rsid w:val="002A0E23"/>
    <w:rsid w:val="002A28E6"/>
    <w:rsid w:val="002A36C9"/>
    <w:rsid w:val="002B4557"/>
    <w:rsid w:val="002C2634"/>
    <w:rsid w:val="002C2B4B"/>
    <w:rsid w:val="002C3592"/>
    <w:rsid w:val="002C3DFC"/>
    <w:rsid w:val="002C3F1F"/>
    <w:rsid w:val="002C71B2"/>
    <w:rsid w:val="002D3EA1"/>
    <w:rsid w:val="002E4010"/>
    <w:rsid w:val="002F030D"/>
    <w:rsid w:val="003057A4"/>
    <w:rsid w:val="00306B2F"/>
    <w:rsid w:val="00307BD9"/>
    <w:rsid w:val="003150ED"/>
    <w:rsid w:val="003346A8"/>
    <w:rsid w:val="003376BD"/>
    <w:rsid w:val="00340D69"/>
    <w:rsid w:val="00362809"/>
    <w:rsid w:val="0036527A"/>
    <w:rsid w:val="00366169"/>
    <w:rsid w:val="0036668E"/>
    <w:rsid w:val="00387987"/>
    <w:rsid w:val="00391591"/>
    <w:rsid w:val="003938E2"/>
    <w:rsid w:val="00393A30"/>
    <w:rsid w:val="003A34A1"/>
    <w:rsid w:val="003C1230"/>
    <w:rsid w:val="003D08D1"/>
    <w:rsid w:val="003D09A2"/>
    <w:rsid w:val="003D4A75"/>
    <w:rsid w:val="003F0653"/>
    <w:rsid w:val="003F2548"/>
    <w:rsid w:val="003F29A1"/>
    <w:rsid w:val="003F4406"/>
    <w:rsid w:val="003F5244"/>
    <w:rsid w:val="004050DE"/>
    <w:rsid w:val="00405C9E"/>
    <w:rsid w:val="0041071D"/>
    <w:rsid w:val="00411C77"/>
    <w:rsid w:val="00414BAC"/>
    <w:rsid w:val="0041664C"/>
    <w:rsid w:val="00430AC5"/>
    <w:rsid w:val="00430BA9"/>
    <w:rsid w:val="00431FFB"/>
    <w:rsid w:val="00453443"/>
    <w:rsid w:val="0046792C"/>
    <w:rsid w:val="0047548A"/>
    <w:rsid w:val="004814CA"/>
    <w:rsid w:val="0048786E"/>
    <w:rsid w:val="004929AB"/>
    <w:rsid w:val="00495740"/>
    <w:rsid w:val="00495BB9"/>
    <w:rsid w:val="0049623C"/>
    <w:rsid w:val="00496CEA"/>
    <w:rsid w:val="004B3B5F"/>
    <w:rsid w:val="004B56C5"/>
    <w:rsid w:val="004B57B8"/>
    <w:rsid w:val="004B7A95"/>
    <w:rsid w:val="004C2148"/>
    <w:rsid w:val="004E0678"/>
    <w:rsid w:val="004F281C"/>
    <w:rsid w:val="00505C8D"/>
    <w:rsid w:val="005065B0"/>
    <w:rsid w:val="00512438"/>
    <w:rsid w:val="00520421"/>
    <w:rsid w:val="00524460"/>
    <w:rsid w:val="005253CA"/>
    <w:rsid w:val="0053316A"/>
    <w:rsid w:val="00535FBF"/>
    <w:rsid w:val="00556858"/>
    <w:rsid w:val="0057432D"/>
    <w:rsid w:val="005746A2"/>
    <w:rsid w:val="005858F6"/>
    <w:rsid w:val="005B63B8"/>
    <w:rsid w:val="005C224B"/>
    <w:rsid w:val="005C25B9"/>
    <w:rsid w:val="005D6CC4"/>
    <w:rsid w:val="005F0F53"/>
    <w:rsid w:val="005F2DB8"/>
    <w:rsid w:val="005F4EB8"/>
    <w:rsid w:val="0060475F"/>
    <w:rsid w:val="00604A5F"/>
    <w:rsid w:val="006132E4"/>
    <w:rsid w:val="00630EE4"/>
    <w:rsid w:val="00632055"/>
    <w:rsid w:val="00634CB5"/>
    <w:rsid w:val="00644353"/>
    <w:rsid w:val="00651FD3"/>
    <w:rsid w:val="00653102"/>
    <w:rsid w:val="00663E75"/>
    <w:rsid w:val="00676DDB"/>
    <w:rsid w:val="00695DE5"/>
    <w:rsid w:val="006A3856"/>
    <w:rsid w:val="006A609B"/>
    <w:rsid w:val="006C46D6"/>
    <w:rsid w:val="006C5A96"/>
    <w:rsid w:val="006D06C0"/>
    <w:rsid w:val="006D5FB4"/>
    <w:rsid w:val="006E21A4"/>
    <w:rsid w:val="006E2279"/>
    <w:rsid w:val="006E3ECE"/>
    <w:rsid w:val="006F3477"/>
    <w:rsid w:val="006F4B2D"/>
    <w:rsid w:val="006F4C2C"/>
    <w:rsid w:val="006F578A"/>
    <w:rsid w:val="00716B5D"/>
    <w:rsid w:val="0072333E"/>
    <w:rsid w:val="007246C6"/>
    <w:rsid w:val="00724B52"/>
    <w:rsid w:val="00725509"/>
    <w:rsid w:val="00733FF6"/>
    <w:rsid w:val="007427EA"/>
    <w:rsid w:val="00743E80"/>
    <w:rsid w:val="007719B3"/>
    <w:rsid w:val="007719F2"/>
    <w:rsid w:val="00772244"/>
    <w:rsid w:val="007863B6"/>
    <w:rsid w:val="00797587"/>
    <w:rsid w:val="007A01F6"/>
    <w:rsid w:val="007A3E67"/>
    <w:rsid w:val="007B0573"/>
    <w:rsid w:val="007B2A05"/>
    <w:rsid w:val="007B426F"/>
    <w:rsid w:val="007C03E5"/>
    <w:rsid w:val="007C06BE"/>
    <w:rsid w:val="007D1A33"/>
    <w:rsid w:val="007D2C4E"/>
    <w:rsid w:val="007F64BC"/>
    <w:rsid w:val="0080062E"/>
    <w:rsid w:val="00803B89"/>
    <w:rsid w:val="008140CC"/>
    <w:rsid w:val="00820F96"/>
    <w:rsid w:val="008221AD"/>
    <w:rsid w:val="00826CF9"/>
    <w:rsid w:val="00833DA6"/>
    <w:rsid w:val="00840504"/>
    <w:rsid w:val="0085260C"/>
    <w:rsid w:val="00853CEC"/>
    <w:rsid w:val="008641CB"/>
    <w:rsid w:val="00872404"/>
    <w:rsid w:val="0087327D"/>
    <w:rsid w:val="00875447"/>
    <w:rsid w:val="00875A5E"/>
    <w:rsid w:val="00875B6B"/>
    <w:rsid w:val="00880564"/>
    <w:rsid w:val="00883A87"/>
    <w:rsid w:val="00883B74"/>
    <w:rsid w:val="00896E92"/>
    <w:rsid w:val="008974AB"/>
    <w:rsid w:val="008B0A5D"/>
    <w:rsid w:val="008B38D5"/>
    <w:rsid w:val="008B555E"/>
    <w:rsid w:val="008C3A92"/>
    <w:rsid w:val="008D19B3"/>
    <w:rsid w:val="008D5F4E"/>
    <w:rsid w:val="008E28A2"/>
    <w:rsid w:val="008E43D7"/>
    <w:rsid w:val="008E6124"/>
    <w:rsid w:val="008E6B68"/>
    <w:rsid w:val="008F2892"/>
    <w:rsid w:val="00903E1F"/>
    <w:rsid w:val="0091326E"/>
    <w:rsid w:val="0094035A"/>
    <w:rsid w:val="009407BA"/>
    <w:rsid w:val="00943657"/>
    <w:rsid w:val="0095220F"/>
    <w:rsid w:val="009558B7"/>
    <w:rsid w:val="00956413"/>
    <w:rsid w:val="00972199"/>
    <w:rsid w:val="00974115"/>
    <w:rsid w:val="009832A2"/>
    <w:rsid w:val="00984485"/>
    <w:rsid w:val="0098793A"/>
    <w:rsid w:val="00991AA8"/>
    <w:rsid w:val="009A050A"/>
    <w:rsid w:val="009A2ED4"/>
    <w:rsid w:val="009B0FC1"/>
    <w:rsid w:val="009C360C"/>
    <w:rsid w:val="009C609B"/>
    <w:rsid w:val="009E00E8"/>
    <w:rsid w:val="009E0519"/>
    <w:rsid w:val="009E5176"/>
    <w:rsid w:val="009F1F96"/>
    <w:rsid w:val="009F38A3"/>
    <w:rsid w:val="009F3C1C"/>
    <w:rsid w:val="009F7DC2"/>
    <w:rsid w:val="00A00FE3"/>
    <w:rsid w:val="00A02CBF"/>
    <w:rsid w:val="00A10E3A"/>
    <w:rsid w:val="00A10E5E"/>
    <w:rsid w:val="00A13465"/>
    <w:rsid w:val="00A152E7"/>
    <w:rsid w:val="00A16FE2"/>
    <w:rsid w:val="00A20A33"/>
    <w:rsid w:val="00A22F98"/>
    <w:rsid w:val="00A236C7"/>
    <w:rsid w:val="00A24A05"/>
    <w:rsid w:val="00A25DDD"/>
    <w:rsid w:val="00A26F1F"/>
    <w:rsid w:val="00A2748C"/>
    <w:rsid w:val="00A3188B"/>
    <w:rsid w:val="00A338DF"/>
    <w:rsid w:val="00A502AC"/>
    <w:rsid w:val="00A50723"/>
    <w:rsid w:val="00A5230B"/>
    <w:rsid w:val="00A55EE4"/>
    <w:rsid w:val="00A63A0D"/>
    <w:rsid w:val="00A65C7E"/>
    <w:rsid w:val="00A858B8"/>
    <w:rsid w:val="00A90D54"/>
    <w:rsid w:val="00A91A0A"/>
    <w:rsid w:val="00A95A09"/>
    <w:rsid w:val="00AA6759"/>
    <w:rsid w:val="00AA75E0"/>
    <w:rsid w:val="00AD0025"/>
    <w:rsid w:val="00AD4096"/>
    <w:rsid w:val="00AE1E0D"/>
    <w:rsid w:val="00AE4D0A"/>
    <w:rsid w:val="00AE5505"/>
    <w:rsid w:val="00AE5CEA"/>
    <w:rsid w:val="00AE6003"/>
    <w:rsid w:val="00AF4218"/>
    <w:rsid w:val="00B258EB"/>
    <w:rsid w:val="00B26806"/>
    <w:rsid w:val="00B30447"/>
    <w:rsid w:val="00B35735"/>
    <w:rsid w:val="00B52CCF"/>
    <w:rsid w:val="00B565C0"/>
    <w:rsid w:val="00B7278A"/>
    <w:rsid w:val="00B80B1E"/>
    <w:rsid w:val="00B86AA1"/>
    <w:rsid w:val="00B93B83"/>
    <w:rsid w:val="00B94D2A"/>
    <w:rsid w:val="00BA7295"/>
    <w:rsid w:val="00BB0D58"/>
    <w:rsid w:val="00BB570D"/>
    <w:rsid w:val="00BC1225"/>
    <w:rsid w:val="00BC2E43"/>
    <w:rsid w:val="00BC3A60"/>
    <w:rsid w:val="00BC7BFA"/>
    <w:rsid w:val="00BD46FE"/>
    <w:rsid w:val="00BD5ACB"/>
    <w:rsid w:val="00BE1AFA"/>
    <w:rsid w:val="00BE54A8"/>
    <w:rsid w:val="00BF4EBB"/>
    <w:rsid w:val="00BF55CD"/>
    <w:rsid w:val="00C04D23"/>
    <w:rsid w:val="00C07DEC"/>
    <w:rsid w:val="00C154B4"/>
    <w:rsid w:val="00C20D7E"/>
    <w:rsid w:val="00C27402"/>
    <w:rsid w:val="00C33698"/>
    <w:rsid w:val="00C34179"/>
    <w:rsid w:val="00C518C1"/>
    <w:rsid w:val="00C57466"/>
    <w:rsid w:val="00C65FC5"/>
    <w:rsid w:val="00C72F1A"/>
    <w:rsid w:val="00C74373"/>
    <w:rsid w:val="00C74CB0"/>
    <w:rsid w:val="00C762BD"/>
    <w:rsid w:val="00CB0315"/>
    <w:rsid w:val="00CB64FA"/>
    <w:rsid w:val="00CC1142"/>
    <w:rsid w:val="00CC3313"/>
    <w:rsid w:val="00CD2347"/>
    <w:rsid w:val="00CD3B42"/>
    <w:rsid w:val="00CD529C"/>
    <w:rsid w:val="00CD55CF"/>
    <w:rsid w:val="00CD6E41"/>
    <w:rsid w:val="00CE3E0E"/>
    <w:rsid w:val="00D0305D"/>
    <w:rsid w:val="00D07850"/>
    <w:rsid w:val="00D106A0"/>
    <w:rsid w:val="00D31D64"/>
    <w:rsid w:val="00D348BE"/>
    <w:rsid w:val="00D35D6A"/>
    <w:rsid w:val="00D43572"/>
    <w:rsid w:val="00D45043"/>
    <w:rsid w:val="00D53C5C"/>
    <w:rsid w:val="00D56285"/>
    <w:rsid w:val="00D659FA"/>
    <w:rsid w:val="00D65FDA"/>
    <w:rsid w:val="00D77B32"/>
    <w:rsid w:val="00DB0379"/>
    <w:rsid w:val="00DB4BE1"/>
    <w:rsid w:val="00DC3029"/>
    <w:rsid w:val="00DC3F9B"/>
    <w:rsid w:val="00DC524F"/>
    <w:rsid w:val="00DE10B6"/>
    <w:rsid w:val="00DE13FC"/>
    <w:rsid w:val="00DE4A18"/>
    <w:rsid w:val="00DE5AD5"/>
    <w:rsid w:val="00DF0AB4"/>
    <w:rsid w:val="00DF3E1F"/>
    <w:rsid w:val="00E0534E"/>
    <w:rsid w:val="00E10607"/>
    <w:rsid w:val="00E139DE"/>
    <w:rsid w:val="00E14479"/>
    <w:rsid w:val="00E16F2D"/>
    <w:rsid w:val="00E20451"/>
    <w:rsid w:val="00E20AD5"/>
    <w:rsid w:val="00E270DF"/>
    <w:rsid w:val="00E274AF"/>
    <w:rsid w:val="00E413AB"/>
    <w:rsid w:val="00E44BBF"/>
    <w:rsid w:val="00E472ED"/>
    <w:rsid w:val="00E51ED9"/>
    <w:rsid w:val="00E5605D"/>
    <w:rsid w:val="00E709C4"/>
    <w:rsid w:val="00E73AEB"/>
    <w:rsid w:val="00E8336D"/>
    <w:rsid w:val="00E86093"/>
    <w:rsid w:val="00E86E08"/>
    <w:rsid w:val="00E943D7"/>
    <w:rsid w:val="00E94FFD"/>
    <w:rsid w:val="00EB0E56"/>
    <w:rsid w:val="00EB64E1"/>
    <w:rsid w:val="00EB73A9"/>
    <w:rsid w:val="00EB7679"/>
    <w:rsid w:val="00EC069E"/>
    <w:rsid w:val="00EC2A89"/>
    <w:rsid w:val="00EC307B"/>
    <w:rsid w:val="00EC4F64"/>
    <w:rsid w:val="00ED37F2"/>
    <w:rsid w:val="00EE2B6B"/>
    <w:rsid w:val="00EE6781"/>
    <w:rsid w:val="00EE69B4"/>
    <w:rsid w:val="00EF65B3"/>
    <w:rsid w:val="00F02535"/>
    <w:rsid w:val="00F03F54"/>
    <w:rsid w:val="00F042A1"/>
    <w:rsid w:val="00F06B3C"/>
    <w:rsid w:val="00F11C56"/>
    <w:rsid w:val="00F12185"/>
    <w:rsid w:val="00F15D48"/>
    <w:rsid w:val="00F24AE8"/>
    <w:rsid w:val="00F2653A"/>
    <w:rsid w:val="00F27D56"/>
    <w:rsid w:val="00F339F7"/>
    <w:rsid w:val="00F33F4F"/>
    <w:rsid w:val="00F34E93"/>
    <w:rsid w:val="00F350B9"/>
    <w:rsid w:val="00F364B8"/>
    <w:rsid w:val="00F41FE7"/>
    <w:rsid w:val="00F4583D"/>
    <w:rsid w:val="00F477FA"/>
    <w:rsid w:val="00F50AB1"/>
    <w:rsid w:val="00F625C4"/>
    <w:rsid w:val="00F65DA5"/>
    <w:rsid w:val="00F76801"/>
    <w:rsid w:val="00F85CB2"/>
    <w:rsid w:val="00F95533"/>
    <w:rsid w:val="00F97F31"/>
    <w:rsid w:val="00FA35DF"/>
    <w:rsid w:val="00FA3DFD"/>
    <w:rsid w:val="00FA6891"/>
    <w:rsid w:val="00FB5A5D"/>
    <w:rsid w:val="00FB6AB2"/>
    <w:rsid w:val="00FC286F"/>
    <w:rsid w:val="00FC527A"/>
    <w:rsid w:val="00FD56C4"/>
    <w:rsid w:val="00FE4AE4"/>
    <w:rsid w:val="00FF5A31"/>
    <w:rsid w:val="7F97A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AD040"/>
  <w15:docId w15:val="{3294CD8A-4A04-B44D-8062-793D60EC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ru-GE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spacing w:after="80" w:line="259" w:lineRule="auto"/>
      <w:textAlignment w:val="baseline"/>
    </w:pPr>
    <w:rPr>
      <w:rFonts w:eastAsia="Times New Roman" w:ascii="Arial" w:hAnsi="Arial"/>
      <w:color w:val="26384A"/>
      <w:sz w:val="19"/>
      <w:szCs w:val="24"/>
      <w:lang w:val="ru-RU"/>
    </w:rPr>
  </w:style>
  <w:style w:type="paragraph" w:styleId="1">
    <w:name w:val="heading 1"/>
    <w:basedOn w:val="a"/>
    <w:next w:val="a"/>
    <w:pPr>
      <w:keepNext/>
      <w:numPr>
        <w:numId w:val="1"/>
      </w:numPr>
      <w:spacing w:before="260" w:after="100"/>
      <w:ind w:right="11"/>
      <w:outlineLvl w:val="0"/>
    </w:pPr>
    <w:rPr>
      <w:rFonts w:ascii="Arial" w:hAnsi="Arial"/>
      <w:b/>
      <w:bCs/>
      <w:iCs/>
      <w:color w:val="173660"/>
      <w:sz w:val="28"/>
      <w:szCs w:val="1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rial" w:hAnsi="Arial"/>
      <w:b/>
      <w:color w:val="173660"/>
      <w:sz w:val="2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5">
    <w:name w:val="heading 5"/>
    <w:basedOn w:val="a"/>
    <w:next w:val="a"/>
    <w:pPr>
      <w:keepNext/>
      <w:spacing w:before="120"/>
      <w:outlineLvl w:val="4"/>
    </w:pPr>
    <w:rPr>
      <w:b/>
      <w:bCs/>
      <w:sz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styleId="a6">
    <w:name w:val="footnote reference"/>
    <w:rPr>
      <w:position w:val="0"/>
      <w:vertAlign w:val="superscript"/>
    </w:rPr>
  </w:style>
  <w:style w:type="paragraph" w:styleId="a7">
    <w:name w:val="footnote text"/>
    <w:basedOn w:val="a"/>
    <w:rPr>
      <w:sz w:val="20"/>
      <w:szCs w:val="20"/>
    </w:rPr>
  </w:style>
  <w:style w:type="paragraph" w:styleId="a8">
    <w:name w:val="header"/>
    <w:basedOn w:val="a"/>
    <w:link w:val="a9"/>
    <w:unhideWhenUsed/>
    <w:pPr>
      <w:tabs>
        <w:tab w:val="center" w:pos="4677"/>
        <w:tab w:val="right" w:pos="9355"/>
      </w:tabs>
    </w:p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pPr>
      <w:suppressAutoHyphens w:val="0"/>
      <w:autoSpaceDN/>
      <w:spacing w:before="100" w:beforeAutospacing="1" w:after="100" w:afterAutospacing="1"/>
      <w:textAlignment w:val="auto"/>
    </w:pPr>
    <w:rPr>
      <w:lang w:val="zh-CN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pPr>
      <w:autoSpaceDN w:val="0"/>
      <w:textAlignment w:val="baseline"/>
    </w:pPr>
    <w:rPr>
      <w:rFonts w:eastAsia="Times New Roman"/>
      <w:lang w:val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a"/>
    <w:pPr>
      <w:jc w:val="both"/>
    </w:pPr>
    <w:rPr>
      <w:b/>
      <w:i/>
      <w:sz w:val="28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</w:style>
  <w:style w:type="character" w:customStyle="1" w:styleId="50">
    <w:name w:val="Заголовок 5 Знак"/>
    <w:rPr>
      <w:b/>
      <w:bCs/>
      <w:sz w:val="16"/>
      <w:szCs w:val="24"/>
      <w:lang w:val="ru-RU" w:eastAsia="ru-RU" w:bidi="ar-SA"/>
    </w:rPr>
  </w:style>
  <w:style w:type="character" w:customStyle="1" w:styleId="ad">
    <w:name w:val="Основной текст Знак"/>
    <w:rPr>
      <w:b/>
      <w:i/>
      <w:sz w:val="28"/>
      <w:lang w:val="ru-RU" w:eastAsia="ru-RU" w:bidi="ar-SA"/>
    </w:rPr>
  </w:style>
  <w:style w:type="character" w:customStyle="1" w:styleId="ae">
    <w:name w:val="Текст сноски Знак"/>
    <w:rPr>
      <w:lang w:val="ru-RU" w:eastAsia="ru-RU" w:bidi="ar-SA"/>
    </w:rPr>
  </w:style>
  <w:style w:type="character" w:customStyle="1" w:styleId="FootnoteSymbol">
    <w:name w:val="Footnote Symbol"/>
  </w:style>
  <w:style w:type="character" w:customStyle="1" w:styleId="a9">
    <w:name w:val="Верхний колонтитул Знак"/>
    <w:basedOn w:val="a0"/>
    <w:link w:val="a8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Pr>
      <w:sz w:val="24"/>
      <w:szCs w:val="24"/>
    </w:rPr>
  </w:style>
  <w:style w:type="paragraph" w:styleId="af">
    <w:name w:val="No Spacing"/>
    <w:link w:val="af0"/>
    <w:uiPriority w:val="1"/>
    <w:qFormat/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af0">
    <w:name w:val="Без интервала Знак"/>
    <w:link w:val="af"/>
    <w:uiPriority w:val="1"/>
    <w:locked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10">
    <w:name w:val="Обычный1"/>
    <w:pPr>
      <w:spacing w:before="100" w:beforeAutospacing="1" w:after="160" w:line="276" w:lineRule="auto"/>
    </w:pPr>
    <w:rPr>
      <w:rFonts w:ascii="DengXian" w:eastAsia="DengXian" w:hAnsi="DengXian"/>
      <w:kern w:val="2"/>
      <w:sz w:val="24"/>
      <w:szCs w:val="24"/>
      <w:lang w:val="zh-CN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D31D64"/>
    <w:rPr>
      <w:color w:val="605E5C"/>
      <w:shd w:val="clear" w:color="auto" w:fill="E1DFDD"/>
    </w:rPr>
  </w:style>
  <w:style w:type="paragraph" w:customStyle="1" w:styleId="s21">
    <w:name w:val="s21"/>
    <w:basedOn w:val="a"/>
    <w:rsid w:val="000741E1"/>
    <w:pPr>
      <w:suppressAutoHyphens w:val="0"/>
      <w:autoSpaceDN/>
      <w:spacing w:before="100" w:beforeAutospacing="1" w:after="100" w:afterAutospacing="1"/>
      <w:textAlignment w:val="auto"/>
    </w:pPr>
    <w:rPr>
      <w:lang w:val="ru-GE"/>
    </w:rPr>
  </w:style>
  <w:style w:type="character" w:customStyle="1" w:styleId="s20">
    <w:name w:val="s20"/>
    <w:basedOn w:val="a0"/>
    <w:rsid w:val="000741E1"/>
  </w:style>
  <w:style w:type="character" w:customStyle="1" w:styleId="apple-converted-space">
    <w:name w:val="apple-converted-space"/>
    <w:basedOn w:val="a0"/>
    <w:rsid w:val="000741E1"/>
  </w:style>
  <w:style w:type="paragraph" w:customStyle="1" w:styleId="s22">
    <w:name w:val="s22"/>
    <w:basedOn w:val="a"/>
    <w:rsid w:val="000741E1"/>
    <w:pPr>
      <w:suppressAutoHyphens w:val="0"/>
      <w:autoSpaceDN/>
      <w:spacing w:before="100" w:beforeAutospacing="1" w:after="100" w:afterAutospacing="1"/>
      <w:textAlignment w:val="auto"/>
    </w:pPr>
    <w:rPr>
      <w:lang w:val="ru-GE"/>
    </w:rPr>
  </w:style>
  <w:style w:type="character" w:customStyle="1" w:styleId="s23">
    <w:name w:val="s23"/>
    <w:basedOn w:val="a0"/>
    <w:rsid w:val="000741E1"/>
  </w:style>
  <w:style w:type="character" w:customStyle="1" w:styleId="s25">
    <w:name w:val="s25"/>
    <w:basedOn w:val="a0"/>
    <w:rsid w:val="000741E1"/>
  </w:style>
  <w:style w:type="paragraph" w:customStyle="1" w:styleId="Default">
    <w:name w:val="Default"/>
    <w:qFormat/>
    <w:rsid w:val="00E44BBF"/>
    <w:pPr>
      <w:suppressAutoHyphens/>
    </w:pPr>
    <w:rPr>
      <w:rFonts w:eastAsia="NSimSun" w:cs="Arial"/>
      <w:color w:val="000000"/>
      <w:kern w:val="2"/>
      <w:sz w:val="24"/>
      <w:szCs w:val="24"/>
      <w:lang w:val="ru-RU" w:eastAsia="zh-CN" w:bidi="hi-IN"/>
    </w:rPr>
  </w:style>
  <w:style w:type="paragraph" w:customStyle="1" w:styleId="p1">
    <w:name w:val="p1"/>
    <w:basedOn w:val="a"/>
    <w:rsid w:val="00E44BBF"/>
    <w:pPr>
      <w:suppressAutoHyphens w:val="0"/>
      <w:autoSpaceDN/>
      <w:textAlignment w:val="auto"/>
    </w:pPr>
    <w:rPr>
      <w:color w:val="000000"/>
      <w:sz w:val="21"/>
      <w:szCs w:val="21"/>
      <w:lang w:val="ru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3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346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201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79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56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931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28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144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981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452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12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84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1063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046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13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03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998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427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424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5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05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52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19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317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387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8905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295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392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1993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69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49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230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969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934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969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937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725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9993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271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839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3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4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76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2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44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270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185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84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82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37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55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5009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93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522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277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8601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7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459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10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26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371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399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7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66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8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53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63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392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367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37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47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858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82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73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53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MKS@&#1090;NPK-MI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Relationship Id="rId15" Type="http://schemas.openxmlformats.org/officeDocument/2006/relationships/image" Target="media/image3.jpeg"/><Relationship Id="rId16" Type="http://schemas.openxmlformats.org/officeDocument/2006/relationships/image" Target="media/image4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33577E-BA0C-BB47-8AEC-FD5E08396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О ДОХОДАХ ПО ФОРМЕ БАНКА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КРУЭ ВЕГА-Э — технический и опросный лист</dc:title>
  <dc:creator>ООО «НПК МИР»</dc:creator>
  <cp:lastModifiedBy>balicosmoshop@gmail.com</cp:lastModifiedBy>
  <cp:revision>2</cp:revision>
  <cp:lastPrinted>2025-05-15T06:15:00Z</cp:lastPrinted>
  <dcterms:created xsi:type="dcterms:W3CDTF">2026-07-18T04:38:00Z</dcterms:created>
  <dcterms:modified xsi:type="dcterms:W3CDTF">2026-07-18T04:38:00Z</dcterms:modified>
  <dc:subject>Оборудование среднего напряжения</dc:subject>
  <dc:description>Подготовлено на основании документации производителя.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